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3</w:t>
      </w:r>
      <w:r>
        <w:rPr>
          <w:rFonts w:hint="eastAsia" w:ascii="Arial" w:hAnsi="Arial" w:cs="Arial"/>
          <w:b/>
          <w:bCs/>
          <w:snapToGrid w:val="0"/>
          <w:kern w:val="0"/>
          <w:sz w:val="24"/>
          <w:lang w:val="en-US" w:eastAsia="zh-CN"/>
        </w:rPr>
        <w:t>BIS</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R2-210</w:t>
      </w:r>
      <w:r>
        <w:rPr>
          <w:rFonts w:hint="eastAsia" w:ascii="Arial" w:hAnsi="Arial" w:cs="Arial"/>
          <w:b/>
          <w:bCs/>
          <w:snapToGrid w:val="0"/>
          <w:kern w:val="0"/>
          <w:sz w:val="24"/>
          <w:lang w:val="en-US" w:eastAsia="zh-CN"/>
        </w:rPr>
        <w:t>3443</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kern w:val="0"/>
          <w:sz w:val="24"/>
          <w:lang w:val="en-US" w:eastAsia="zh-CN"/>
        </w:rPr>
      </w:pPr>
      <w:r>
        <w:rPr>
          <w:rFonts w:hint="eastAsia" w:ascii="Arial" w:hAnsi="Arial" w:cs="Arial"/>
          <w:b/>
          <w:bCs/>
          <w:kern w:val="0"/>
          <w:sz w:val="24"/>
        </w:rPr>
        <w:t xml:space="preserve">Electronic, </w:t>
      </w:r>
      <w:r>
        <w:rPr>
          <w:rFonts w:hint="eastAsia" w:ascii="Arial" w:hAnsi="Arial" w:cs="Arial"/>
          <w:b/>
          <w:bCs/>
          <w:kern w:val="0"/>
          <w:sz w:val="24"/>
          <w:lang w:val="en-US" w:eastAsia="zh-CN"/>
        </w:rPr>
        <w:t>12</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April - 20</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April</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lang w:val="en-US" w:eastAsia="zh-CN"/>
        </w:rPr>
        <w:t xml:space="preserve">       </w:t>
      </w:r>
      <w:r>
        <w:rPr>
          <w:rFonts w:hint="eastAsia" w:ascii="Arial" w:hAnsi="Arial" w:cs="Arial"/>
          <w:b/>
          <w:bCs/>
          <w:i/>
          <w:iCs/>
          <w:kern w:val="0"/>
          <w:sz w:val="24"/>
        </w:rPr>
        <w:t>Revision of R2-201</w:t>
      </w:r>
      <w:r>
        <w:rPr>
          <w:rFonts w:hint="eastAsia" w:ascii="Arial" w:hAnsi="Arial" w:cs="Arial"/>
          <w:b/>
          <w:bCs/>
          <w:i/>
          <w:iCs/>
          <w:kern w:val="0"/>
          <w:sz w:val="24"/>
          <w:lang w:val="en-US" w:eastAsia="zh-CN"/>
        </w:rPr>
        <w:t>1895</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Further discussion on UE grouping</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8.9.2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w:t>
      </w:r>
      <w:bookmarkStart w:id="3" w:name="_GoBack"/>
      <w:bookmarkEnd w:id="3"/>
      <w:r>
        <w:rPr>
          <w:rFonts w:ascii="Arial" w:hAnsi="Arial" w:cs="Arial"/>
          <w:b/>
          <w:bCs/>
          <w:snapToGrid w:val="0"/>
          <w:kern w:val="0"/>
          <w:sz w:val="24"/>
        </w:rPr>
        <w:t>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rFonts w:hint="eastAsia"/>
          <w:sz w:val="20"/>
          <w:szCs w:val="20"/>
          <w:lang w:val="en-US" w:eastAsia="zh-CN"/>
        </w:rPr>
      </w:pPr>
      <w:r>
        <w:rPr>
          <w:rFonts w:hint="eastAsia"/>
          <w:sz w:val="20"/>
          <w:szCs w:val="20"/>
          <w:lang w:val="en-US" w:eastAsia="zh-CN"/>
        </w:rPr>
        <w:t>During RAN2#113 emeeting, the UE grouping method have be discussed and the following agreements are achieved:</w:t>
      </w:r>
    </w:p>
    <w:p>
      <w:pPr>
        <w:pStyle w:val="188"/>
        <w:numPr>
          <w:ilvl w:val="0"/>
          <w:numId w:val="4"/>
        </w:numPr>
        <w:ind w:left="420" w:leftChars="0" w:hanging="420" w:firstLineChars="0"/>
      </w:pPr>
      <w:r>
        <w:t>There is support to have UE ID based enhancement</w:t>
      </w:r>
    </w:p>
    <w:p>
      <w:pPr>
        <w:pStyle w:val="188"/>
        <w:numPr>
          <w:ilvl w:val="0"/>
          <w:numId w:val="4"/>
        </w:numPr>
        <w:ind w:left="420" w:leftChars="0" w:hanging="420" w:firstLineChars="0"/>
      </w:pPr>
      <w:r>
        <w:t xml:space="preserve">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 </w:t>
      </w:r>
    </w:p>
    <w:p>
      <w:pPr>
        <w:spacing w:line="240" w:lineRule="auto"/>
        <w:jc w:val="left"/>
        <w:rPr>
          <w:rFonts w:hint="default" w:eastAsiaTheme="minorEastAsia"/>
          <w:sz w:val="20"/>
          <w:szCs w:val="20"/>
          <w:lang w:val="en-US" w:eastAsia="zh-CN"/>
        </w:rPr>
      </w:pPr>
      <w:r>
        <w:rPr>
          <w:rFonts w:hint="eastAsia"/>
          <w:sz w:val="20"/>
          <w:szCs w:val="20"/>
          <w:lang w:val="en-US" w:eastAsia="zh-CN"/>
        </w:rPr>
        <w:t>From the agreements, in addition to the basic method- UE ID based Grouping, most of the companies think the additional grouping method coupled with the UE ID based grouping can derive more power efficiency than the pure UE ID based grouping method. And to take which additional grouping method is still a big divergence among companies. Consider the additional UE grouping method shall be determined in RAN2#103 bis meeting, the intention of this contribution is to share our views on the additional UE grouping method.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Times New Roman"/>
          <w:lang w:val="en-US" w:eastAsia="zh-CN"/>
        </w:rPr>
      </w:pPr>
      <w:r>
        <w:rPr>
          <w:rFonts w:ascii="Arial" w:hAnsi="Arial" w:cs="Arial"/>
          <w:b w:val="0"/>
          <w:bCs w:val="0"/>
          <w:kern w:val="0"/>
          <w:sz w:val="32"/>
          <w:szCs w:val="36"/>
        </w:rPr>
        <w:t>Discussion</w:t>
      </w:r>
      <w:bookmarkStart w:id="2" w:name="_Toc12718547"/>
    </w:p>
    <w:p>
      <w:pPr>
        <w:pStyle w:val="3"/>
        <w:bidi w:val="0"/>
        <w:ind w:left="0" w:leftChars="0" w:firstLine="0" w:firstLineChars="0"/>
        <w:rPr>
          <w:rFonts w:hint="default" w:eastAsia="宋体"/>
          <w:b w:val="0"/>
          <w:bCs w:val="0"/>
          <w:sz w:val="28"/>
          <w:szCs w:val="28"/>
          <w:lang w:val="en-US" w:eastAsia="zh-CN"/>
        </w:rPr>
      </w:pPr>
      <w:r>
        <w:rPr>
          <w:rFonts w:hint="eastAsia" w:eastAsia="宋体"/>
          <w:b w:val="0"/>
          <w:bCs w:val="0"/>
          <w:sz w:val="28"/>
          <w:szCs w:val="28"/>
          <w:lang w:val="en-US" w:eastAsia="zh-CN"/>
        </w:rPr>
        <w:t>2.1 Additional Grouping Method</w:t>
      </w:r>
    </w:p>
    <w:p>
      <w:pPr>
        <w:spacing w:line="240" w:lineRule="auto"/>
        <w:rPr>
          <w:sz w:val="20"/>
          <w:szCs w:val="20"/>
        </w:rPr>
      </w:pPr>
      <w:r>
        <w:rPr>
          <w:rFonts w:hint="eastAsia"/>
          <w:sz w:val="20"/>
          <w:szCs w:val="20"/>
        </w:rPr>
        <w:t xml:space="preserve">In NB-IOT, there has been similar discussion on the UE grouping to support GWUS and a combination of UE ID and paging probability based solution is applied [2]. </w:t>
      </w:r>
    </w:p>
    <w:p>
      <w:pPr>
        <w:spacing w:line="240" w:lineRule="auto"/>
        <w:rPr>
          <w:sz w:val="20"/>
          <w:szCs w:val="20"/>
        </w:rPr>
      </w:pPr>
      <w:r>
        <w:rPr>
          <w:rFonts w:hint="eastAsia"/>
          <w:sz w:val="20"/>
          <w:szCs w:val="20"/>
        </w:rPr>
        <w:t>UE will be firstly categorized in to various groups according the paging probability. UE with high and low paging probability will be categorized into different groups so that UE with low paging probability will not be unnecessarily wake up by the WUS for the frequently paged UE. The paging probability is configured via NAS signaling and kept at both UE and network side.</w:t>
      </w:r>
    </w:p>
    <w:p>
      <w:pPr>
        <w:spacing w:line="240" w:lineRule="auto"/>
        <w:rPr>
          <w:sz w:val="20"/>
          <w:szCs w:val="20"/>
        </w:rPr>
      </w:pPr>
      <w:r>
        <w:rPr>
          <w:rFonts w:hint="eastAsia"/>
          <w:sz w:val="20"/>
          <w:szCs w:val="20"/>
        </w:rPr>
        <w:t>Considering that a large quantity of NB-IOT UE would be configured with low paging probability, UE with the same paging probability can be further categorized into sub-groups with associated GWUS based on the UE_ID to further reduce the false alarm.</w:t>
      </w:r>
    </w:p>
    <w:p>
      <w:pPr>
        <w:spacing w:line="240" w:lineRule="auto"/>
        <w:rPr>
          <w:sz w:val="20"/>
          <w:szCs w:val="20"/>
        </w:rPr>
      </w:pPr>
      <w:r>
        <w:rPr>
          <w:rFonts w:hint="eastAsia"/>
          <w:sz w:val="20"/>
          <w:szCs w:val="20"/>
        </w:rPr>
        <w:t xml:space="preserve">Similarly, there would be different kinds of UE in NR with different paging probability (e.g. RedCap UE would possibly be less frequently paged) which cannot </w:t>
      </w:r>
      <w:r>
        <w:rPr>
          <w:sz w:val="20"/>
          <w:szCs w:val="20"/>
        </w:rPr>
        <w:t xml:space="preserve">be </w:t>
      </w:r>
      <w:r>
        <w:rPr>
          <w:rFonts w:hint="eastAsia"/>
          <w:sz w:val="20"/>
          <w:szCs w:val="20"/>
        </w:rPr>
        <w:t>differentiated via the UE ID if allocated without the paging probability taken into consideration. As a result, UE with low paging probability may be categorized into the same group with a frequently paged UE, has to monitor the same paging indication for this group and suffers from severe false alarm. Thus, we prefer to differentiate UE with high and low probability when allocating the UE group, at least normal UE and Redcap UE should be differentiated.</w:t>
      </w:r>
    </w:p>
    <w:p>
      <w:pPr>
        <w:spacing w:line="240" w:lineRule="auto"/>
        <w:jc w:val="left"/>
        <w:rPr>
          <w:b/>
          <w:bCs/>
          <w:sz w:val="20"/>
          <w:szCs w:val="20"/>
        </w:rPr>
      </w:pPr>
      <w:r>
        <w:rPr>
          <w:rFonts w:hint="eastAsia"/>
          <w:b/>
          <w:bCs/>
          <w:sz w:val="20"/>
          <w:szCs w:val="20"/>
        </w:rPr>
        <w:t>Proposal 1: In addition to UE ID based grouping, paging probability based grouping should also be considered.</w:t>
      </w:r>
    </w:p>
    <w:p>
      <w:pPr>
        <w:spacing w:line="240" w:lineRule="auto"/>
        <w:rPr>
          <w:sz w:val="20"/>
          <w:szCs w:val="20"/>
        </w:rPr>
      </w:pPr>
      <w:r>
        <w:rPr>
          <w:rFonts w:hint="eastAsia"/>
          <w:sz w:val="20"/>
          <w:szCs w:val="20"/>
        </w:rPr>
        <w:t>Regarding how to differentiate UE with different paging probabilities, the following approaches can be considered:</w:t>
      </w:r>
    </w:p>
    <w:p>
      <w:pPr>
        <w:numPr>
          <w:ilvl w:val="0"/>
          <w:numId w:val="5"/>
        </w:numPr>
        <w:spacing w:line="240" w:lineRule="auto"/>
        <w:rPr>
          <w:sz w:val="20"/>
          <w:szCs w:val="20"/>
        </w:rPr>
      </w:pPr>
      <w:r>
        <w:rPr>
          <w:rFonts w:hint="eastAsia"/>
          <w:sz w:val="20"/>
          <w:szCs w:val="20"/>
        </w:rPr>
        <w:t>Approach 1: Reuse the paging probability based grouping method in NB-IOT, i.e. configuring paging probability for each UE via NAS signaling and provides the paging probability to RAN node when the paging message is sent over NG interface.</w:t>
      </w:r>
    </w:p>
    <w:p>
      <w:pPr>
        <w:numPr>
          <w:ilvl w:val="0"/>
          <w:numId w:val="5"/>
        </w:numPr>
        <w:spacing w:line="240" w:lineRule="auto"/>
        <w:rPr>
          <w:sz w:val="20"/>
          <w:szCs w:val="20"/>
        </w:rPr>
      </w:pPr>
      <w:r>
        <w:rPr>
          <w:rFonts w:hint="eastAsia"/>
          <w:sz w:val="20"/>
          <w:szCs w:val="20"/>
        </w:rPr>
        <w:t>Approach 2: Taken into consideration the paging probability when allocating the UE ID and apply UE ID based grouping method, e.g. define UE ID value range for UE with certain paging probabilities.</w:t>
      </w:r>
    </w:p>
    <w:p>
      <w:pPr>
        <w:spacing w:line="240" w:lineRule="auto"/>
        <w:jc w:val="left"/>
        <w:rPr>
          <w:rFonts w:hint="default"/>
          <w:b w:val="0"/>
          <w:bCs w:val="0"/>
          <w:sz w:val="20"/>
          <w:szCs w:val="20"/>
          <w:lang w:val="en-US" w:eastAsia="zh-CN"/>
        </w:rPr>
      </w:pPr>
      <w:r>
        <w:rPr>
          <w:rFonts w:hint="eastAsia"/>
          <w:b w:val="0"/>
          <w:bCs w:val="0"/>
          <w:sz w:val="20"/>
          <w:szCs w:val="20"/>
          <w:lang w:val="en-US" w:eastAsia="zh-CN"/>
        </w:rPr>
        <w:t>For approach 1, this approach can be directly adopted in R17 Powersaving since the mechanism is mature enough. According to the email discussion, some companies may have the concern that it is so hard for CN/RAN to estimate the paging probability for smart UEs (i.e smart phone) since the smart phone may support a various kinds of services. To our understanding ,the paging probability based grouping is mainly for saving the power of the UE with the simplex service(i.e REDCAP UE) which is more power sensitive. For example of one implementation, for the UE whose paging probability is hardly to be estimated, such as smart phone, they will monitor the PDCCH for paging within the undefined paging probability domain , while for the UE whose paging probability can be negotiated with the CN by the NAS signaling, they will monitor the PDCCH for paging within the defined paging probability domain. The illustration is shown as below:</w:t>
      </w:r>
    </w:p>
    <w:p>
      <w:pPr>
        <w:spacing w:line="240" w:lineRule="auto"/>
        <w:jc w:val="center"/>
        <w:rPr>
          <w:rFonts w:hint="eastAsia"/>
          <w:b w:val="0"/>
          <w:bCs w:val="0"/>
          <w:sz w:val="20"/>
          <w:szCs w:val="20"/>
          <w:lang w:val="en-US" w:eastAsia="zh-CN"/>
        </w:rPr>
      </w:pPr>
      <w:r>
        <w:drawing>
          <wp:inline distT="0" distB="0" distL="114300" distR="114300">
            <wp:extent cx="5848350" cy="1200150"/>
            <wp:effectExtent l="0" t="0" r="0" b="0"/>
            <wp:docPr id="3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pic:cNvPicPr>
                      <a:picLocks noChangeAspect="1"/>
                    </pic:cNvPicPr>
                  </pic:nvPicPr>
                  <pic:blipFill>
                    <a:blip r:embed="rId7"/>
                    <a:stretch>
                      <a:fillRect/>
                    </a:stretch>
                  </pic:blipFill>
                  <pic:spPr>
                    <a:xfrm>
                      <a:off x="0" y="0"/>
                      <a:ext cx="5848350" cy="1200150"/>
                    </a:xfrm>
                    <a:prstGeom prst="rect">
                      <a:avLst/>
                    </a:prstGeom>
                  </pic:spPr>
                </pic:pic>
              </a:graphicData>
            </a:graphic>
          </wp:inline>
        </w:drawing>
      </w:r>
    </w:p>
    <w:p>
      <w:pPr>
        <w:spacing w:line="240" w:lineRule="auto"/>
        <w:jc w:val="center"/>
        <w:rPr>
          <w:rFonts w:hint="eastAsia"/>
          <w:b w:val="0"/>
          <w:bCs w:val="0"/>
          <w:sz w:val="20"/>
          <w:szCs w:val="20"/>
          <w:lang w:val="en-US" w:eastAsia="zh-CN"/>
        </w:rPr>
      </w:pPr>
      <w:r>
        <w:rPr>
          <w:rFonts w:hint="eastAsia"/>
          <w:b w:val="0"/>
          <w:bCs w:val="0"/>
          <w:sz w:val="20"/>
          <w:szCs w:val="20"/>
          <w:lang w:val="en-US" w:eastAsia="zh-CN"/>
        </w:rPr>
        <w:t>Fig.1 One illustration for Approach 1</w:t>
      </w:r>
    </w:p>
    <w:p>
      <w:pPr>
        <w:spacing w:line="240" w:lineRule="auto"/>
        <w:jc w:val="left"/>
        <w:rPr>
          <w:rFonts w:hint="default"/>
          <w:b w:val="0"/>
          <w:bCs w:val="0"/>
          <w:sz w:val="20"/>
          <w:szCs w:val="20"/>
          <w:lang w:val="en-US" w:eastAsia="zh-CN"/>
        </w:rPr>
      </w:pPr>
      <w:r>
        <w:rPr>
          <w:rFonts w:hint="eastAsia"/>
          <w:b w:val="0"/>
          <w:bCs w:val="0"/>
          <w:sz w:val="20"/>
          <w:szCs w:val="20"/>
          <w:lang w:val="en-US" w:eastAsia="zh-CN"/>
        </w:rPr>
        <w:t>For approach 2, this approach is mainly implemented by the NW side rather than the UE side.For example of one implementation, CN will determine the number of the UE groups before allocating UE ID to each UE, and then allocate the 5G-S-TMSI to each UE based on the consideration of the paging probability. After doing this, CN will send the group number information to RAN and RAN broadcast the grouping number information to the UE. UE can derive the group ID with its own 5G-S-TMSI and grouping number information.</w:t>
      </w:r>
    </w:p>
    <w:p>
      <w:pPr>
        <w:spacing w:line="240" w:lineRule="auto"/>
        <w:jc w:val="left"/>
        <w:rPr>
          <w:rFonts w:hint="default"/>
          <w:b w:val="0"/>
          <w:bCs w:val="0"/>
          <w:sz w:val="20"/>
          <w:szCs w:val="20"/>
          <w:lang w:val="en-US" w:eastAsia="zh-CN"/>
        </w:rPr>
      </w:pPr>
      <w:r>
        <w:rPr>
          <w:rFonts w:hint="eastAsia"/>
          <w:b w:val="0"/>
          <w:bCs w:val="0"/>
          <w:sz w:val="20"/>
          <w:szCs w:val="20"/>
          <w:lang w:val="en-US" w:eastAsia="zh-CN"/>
        </w:rPr>
        <w:t>Both approaches can work properly, thus we propose:</w:t>
      </w:r>
    </w:p>
    <w:p>
      <w:pPr>
        <w:spacing w:line="240" w:lineRule="auto"/>
        <w:jc w:val="left"/>
        <w:rPr>
          <w:b/>
          <w:bCs/>
          <w:sz w:val="20"/>
          <w:szCs w:val="20"/>
        </w:rPr>
      </w:pPr>
      <w:r>
        <w:rPr>
          <w:rFonts w:hint="eastAsia"/>
          <w:b/>
          <w:bCs/>
          <w:sz w:val="20"/>
          <w:szCs w:val="20"/>
        </w:rPr>
        <w:t>Proposal 2: The following approaches can be considered to differentiate UE with different paging probability:</w:t>
      </w:r>
    </w:p>
    <w:p>
      <w:pPr>
        <w:numPr>
          <w:ilvl w:val="0"/>
          <w:numId w:val="6"/>
        </w:numPr>
        <w:spacing w:line="240" w:lineRule="auto"/>
        <w:jc w:val="left"/>
        <w:rPr>
          <w:b/>
          <w:bCs/>
          <w:sz w:val="20"/>
          <w:szCs w:val="20"/>
        </w:rPr>
      </w:pPr>
      <w:r>
        <w:rPr>
          <w:b/>
          <w:bCs/>
          <w:sz w:val="20"/>
          <w:szCs w:val="20"/>
        </w:rPr>
        <w:t>Approach 1: Reuse the paging probability based grouping method in NB-IOT, i.e. configuring paging probability for each UE via NAS signaling and provides the paging probability to RAN node when the paging message is sent over NG interface.</w:t>
      </w:r>
    </w:p>
    <w:p>
      <w:pPr>
        <w:numPr>
          <w:ilvl w:val="0"/>
          <w:numId w:val="6"/>
        </w:numPr>
        <w:spacing w:line="240" w:lineRule="auto"/>
        <w:jc w:val="left"/>
        <w:rPr>
          <w:b/>
          <w:bCs/>
          <w:sz w:val="20"/>
          <w:szCs w:val="20"/>
        </w:rPr>
      </w:pPr>
      <w:r>
        <w:rPr>
          <w:b/>
          <w:bCs/>
          <w:sz w:val="20"/>
          <w:szCs w:val="20"/>
        </w:rPr>
        <w:t>Approach 2: Taken into consideration the paging probability when allocating the UE ID and apply UE ID based grouping method, e.g. define UE ID value range for UE with certain paging probabilities.</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sz w:val="20"/>
          <w:szCs w:val="20"/>
        </w:rPr>
      </w:pPr>
      <w:r>
        <w:rPr>
          <w:rFonts w:hint="eastAsia"/>
          <w:sz w:val="20"/>
          <w:szCs w:val="20"/>
        </w:rPr>
        <w:t>With the above analysis, we have the following conclusions and proposals:</w:t>
      </w:r>
    </w:p>
    <w:p>
      <w:pPr>
        <w:spacing w:line="240" w:lineRule="auto"/>
        <w:jc w:val="left"/>
        <w:rPr>
          <w:b/>
          <w:bCs/>
          <w:sz w:val="20"/>
          <w:szCs w:val="20"/>
        </w:rPr>
      </w:pPr>
      <w:r>
        <w:rPr>
          <w:rFonts w:hint="eastAsia"/>
          <w:b/>
          <w:bCs/>
          <w:sz w:val="20"/>
          <w:szCs w:val="20"/>
        </w:rPr>
        <w:t>Proposal 1: In addition to UE ID based grouping, paging probability based grouping should also be considered.</w:t>
      </w:r>
    </w:p>
    <w:p>
      <w:pPr>
        <w:spacing w:line="240" w:lineRule="auto"/>
        <w:jc w:val="left"/>
        <w:rPr>
          <w:b/>
          <w:bCs/>
          <w:sz w:val="20"/>
          <w:szCs w:val="20"/>
        </w:rPr>
      </w:pPr>
      <w:r>
        <w:rPr>
          <w:rFonts w:hint="eastAsia"/>
          <w:b/>
          <w:bCs/>
          <w:sz w:val="20"/>
          <w:szCs w:val="20"/>
        </w:rPr>
        <w:t>Proposal 2: The following approaches can be considered to differentiate UE with different paging probability:</w:t>
      </w:r>
    </w:p>
    <w:p>
      <w:pPr>
        <w:numPr>
          <w:ilvl w:val="0"/>
          <w:numId w:val="6"/>
        </w:numPr>
        <w:spacing w:line="240" w:lineRule="auto"/>
        <w:jc w:val="left"/>
        <w:rPr>
          <w:b/>
          <w:bCs/>
          <w:sz w:val="20"/>
          <w:szCs w:val="20"/>
        </w:rPr>
      </w:pPr>
      <w:r>
        <w:rPr>
          <w:b/>
          <w:bCs/>
          <w:sz w:val="20"/>
          <w:szCs w:val="20"/>
        </w:rPr>
        <w:t>Approach 1: Reuse the paging probability based grouping method in NB-IOT, i.e. configuring paging probability for each UE via NAS signaling and provides the paging probability to RAN node when the paging message is sent over NG interface.</w:t>
      </w:r>
    </w:p>
    <w:p>
      <w:pPr>
        <w:numPr>
          <w:ilvl w:val="0"/>
          <w:numId w:val="6"/>
        </w:numPr>
        <w:spacing w:line="240" w:lineRule="auto"/>
        <w:jc w:val="left"/>
        <w:rPr>
          <w:sz w:val="20"/>
          <w:szCs w:val="20"/>
        </w:rPr>
      </w:pPr>
      <w:r>
        <w:rPr>
          <w:b/>
          <w:bCs/>
          <w:sz w:val="20"/>
          <w:szCs w:val="20"/>
        </w:rPr>
        <w:t>Approach 2: Taken into consideration the paging probability when allocating the UE ID and apply UE ID based grouping method, e.g. define UE ID value range for UE with certain paging probabilities.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7"/>
        </w:numPr>
        <w:spacing w:line="260" w:lineRule="auto"/>
        <w:ind w:firstLineChars="0"/>
        <w:jc w:val="left"/>
        <w:rPr>
          <w:sz w:val="20"/>
          <w:szCs w:val="20"/>
        </w:rPr>
      </w:pPr>
      <w:r>
        <w:rPr>
          <w:rFonts w:hint="eastAsia"/>
          <w:sz w:val="20"/>
          <w:szCs w:val="20"/>
        </w:rPr>
        <w:t>[POST112e]</w:t>
      </w:r>
      <w:r>
        <w:rPr>
          <w:sz w:val="20"/>
          <w:szCs w:val="20"/>
        </w:rPr>
        <w:t xml:space="preserve"> </w:t>
      </w:r>
      <w:r>
        <w:rPr>
          <w:rFonts w:hint="eastAsia"/>
          <w:sz w:val="20"/>
          <w:szCs w:val="20"/>
        </w:rPr>
        <w:t>[064]</w:t>
      </w:r>
      <w:r>
        <w:rPr>
          <w:sz w:val="20"/>
          <w:szCs w:val="20"/>
        </w:rPr>
        <w:t xml:space="preserve"> </w:t>
      </w:r>
      <w:r>
        <w:rPr>
          <w:rFonts w:hint="eastAsia"/>
          <w:sz w:val="20"/>
          <w:szCs w:val="20"/>
        </w:rPr>
        <w:t>[Pow17]R2-200xxxx - emaildisc_group_determination_v24_Rapp_summary</w:t>
      </w:r>
    </w:p>
    <w:p>
      <w:pPr>
        <w:pStyle w:val="68"/>
        <w:numPr>
          <w:ilvl w:val="0"/>
          <w:numId w:val="7"/>
        </w:numPr>
        <w:spacing w:line="260" w:lineRule="auto"/>
        <w:ind w:firstLineChars="0"/>
        <w:jc w:val="left"/>
        <w:rPr>
          <w:sz w:val="20"/>
          <w:szCs w:val="20"/>
        </w:rPr>
      </w:pPr>
      <w:r>
        <w:rPr>
          <w:sz w:val="20"/>
          <w:szCs w:val="20"/>
        </w:rPr>
        <w:t>T</w:t>
      </w:r>
      <w:r>
        <w:rPr>
          <w:rFonts w:hint="eastAsia"/>
          <w:sz w:val="20"/>
          <w:szCs w:val="20"/>
        </w:rPr>
        <w:t>S</w:t>
      </w:r>
      <w:r>
        <w:rPr>
          <w:sz w:val="20"/>
          <w:szCs w:val="20"/>
        </w:rPr>
        <w:t xml:space="preserve"> 3</w:t>
      </w:r>
      <w:r>
        <w:rPr>
          <w:rFonts w:hint="eastAsia"/>
          <w:sz w:val="20"/>
          <w:szCs w:val="20"/>
        </w:rPr>
        <w:t>6.304</w:t>
      </w:r>
      <w:r>
        <w:rPr>
          <w:sz w:val="20"/>
          <w:szCs w:val="20"/>
        </w:rPr>
        <w:t xml:space="preserve"> V16</w:t>
      </w:r>
      <w:r>
        <w:rPr>
          <w:rFonts w:hint="eastAsia"/>
          <w:sz w:val="20"/>
          <w:szCs w:val="20"/>
        </w:rPr>
        <w:t>.2</w:t>
      </w:r>
      <w:r>
        <w:rPr>
          <w:sz w:val="20"/>
          <w:szCs w:val="20"/>
        </w:rPr>
        <w:t>.0</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92C216"/>
    <w:multiLevelType w:val="singleLevel"/>
    <w:tmpl w:val="8E92C216"/>
    <w:lvl w:ilvl="0" w:tentative="0">
      <w:start w:val="1"/>
      <w:numFmt w:val="bullet"/>
      <w:lvlText w:val=""/>
      <w:lvlJc w:val="left"/>
      <w:pPr>
        <w:ind w:left="420" w:hanging="420"/>
      </w:pPr>
      <w:rPr>
        <w:rFonts w:hint="default" w:ascii="Wingdings" w:hAnsi="Wingdings"/>
      </w:rPr>
    </w:lvl>
  </w:abstractNum>
  <w:abstractNum w:abstractNumId="1">
    <w:nsid w:val="99F344A0"/>
    <w:multiLevelType w:val="singleLevel"/>
    <w:tmpl w:val="99F344A0"/>
    <w:lvl w:ilvl="0" w:tentative="0">
      <w:start w:val="1"/>
      <w:numFmt w:val="bullet"/>
      <w:lvlText w:val=""/>
      <w:lvlJc w:val="left"/>
      <w:pPr>
        <w:tabs>
          <w:tab w:val="left" w:pos="420"/>
        </w:tabs>
        <w:ind w:left="840" w:hanging="420"/>
      </w:pPr>
      <w:rPr>
        <w:rFonts w:hint="default" w:ascii="Wingdings" w:hAnsi="Wingdings"/>
      </w:rPr>
    </w:lvl>
  </w:abstractNum>
  <w:abstractNum w:abstractNumId="2">
    <w:nsid w:val="9D68118D"/>
    <w:multiLevelType w:val="singleLevel"/>
    <w:tmpl w:val="9D68118D"/>
    <w:lvl w:ilvl="0" w:tentative="0">
      <w:start w:val="1"/>
      <w:numFmt w:val="bullet"/>
      <w:lvlText w:val=""/>
      <w:lvlJc w:val="left"/>
      <w:pPr>
        <w:tabs>
          <w:tab w:val="left" w:pos="420"/>
        </w:tabs>
        <w:ind w:left="840" w:hanging="420"/>
      </w:pPr>
      <w:rPr>
        <w:rFonts w:hint="default" w:ascii="Wingdings" w:hAnsi="Wingdings"/>
      </w:rPr>
    </w:lvl>
  </w:abstractNum>
  <w:abstractNum w:abstractNumId="3">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3"/>
  </w:num>
  <w:num w:numId="2">
    <w:abstractNumId w:val="6"/>
  </w:num>
  <w:num w:numId="3">
    <w:abstractNumId w:val="4"/>
  </w:num>
  <w:num w:numId="4">
    <w:abstractNumId w:val="0"/>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1163"/>
    <w:rsid w:val="002F12B3"/>
    <w:rsid w:val="002F2924"/>
    <w:rsid w:val="002F3161"/>
    <w:rsid w:val="002F5517"/>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E10DC"/>
    <w:rsid w:val="07CE2E21"/>
    <w:rsid w:val="07D029D5"/>
    <w:rsid w:val="07D37F63"/>
    <w:rsid w:val="07D74616"/>
    <w:rsid w:val="07D74975"/>
    <w:rsid w:val="07DE52F0"/>
    <w:rsid w:val="07E53D87"/>
    <w:rsid w:val="07EF7EE5"/>
    <w:rsid w:val="08141163"/>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751F6"/>
    <w:rsid w:val="36813B3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Balloon Text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8"/>
    <w:link w:val="23"/>
    <w:qFormat/>
    <w:uiPriority w:val="0"/>
    <w:rPr>
      <w:rFonts w:ascii="宋体"/>
      <w:kern w:val="2"/>
      <w:sz w:val="18"/>
      <w:szCs w:val="18"/>
    </w:rPr>
  </w:style>
  <w:style w:type="character" w:customStyle="1" w:styleId="70">
    <w:name w:val="Heading 1 Char"/>
    <w:basedOn w:val="58"/>
    <w:link w:val="2"/>
    <w:qFormat/>
    <w:uiPriority w:val="0"/>
    <w:rPr>
      <w:b/>
      <w:bCs/>
      <w:kern w:val="44"/>
      <w:sz w:val="44"/>
      <w:szCs w:val="44"/>
    </w:rPr>
  </w:style>
  <w:style w:type="character" w:customStyle="1" w:styleId="71">
    <w:name w:val="Heading 2 Char"/>
    <w:basedOn w:val="58"/>
    <w:link w:val="3"/>
    <w:qFormat/>
    <w:uiPriority w:val="0"/>
    <w:rPr>
      <w:rFonts w:ascii="Arial" w:hAnsi="Arial" w:eastAsia="MS Mincho"/>
      <w:sz w:val="32"/>
      <w:szCs w:val="32"/>
      <w:lang w:val="en-GB"/>
    </w:rPr>
  </w:style>
  <w:style w:type="character" w:customStyle="1" w:styleId="72">
    <w:name w:val="Heading 3 Char"/>
    <w:basedOn w:val="58"/>
    <w:link w:val="4"/>
    <w:qFormat/>
    <w:uiPriority w:val="0"/>
    <w:rPr>
      <w:b/>
      <w:bCs/>
      <w:kern w:val="2"/>
      <w:sz w:val="32"/>
      <w:szCs w:val="32"/>
    </w:rPr>
  </w:style>
  <w:style w:type="character" w:customStyle="1" w:styleId="73">
    <w:name w:val="Heading 4 Char"/>
    <w:basedOn w:val="58"/>
    <w:link w:val="5"/>
    <w:qFormat/>
    <w:uiPriority w:val="0"/>
    <w:rPr>
      <w:rFonts w:ascii="Arial" w:hAnsi="Arial" w:eastAsia="黑体"/>
      <w:b/>
      <w:kern w:val="2"/>
      <w:sz w:val="28"/>
      <w:szCs w:val="24"/>
    </w:rPr>
  </w:style>
  <w:style w:type="character" w:customStyle="1" w:styleId="74">
    <w:name w:val="Heading 5 Char"/>
    <w:basedOn w:val="58"/>
    <w:link w:val="6"/>
    <w:qFormat/>
    <w:uiPriority w:val="0"/>
    <w:rPr>
      <w:b/>
      <w:kern w:val="2"/>
      <w:sz w:val="28"/>
      <w:szCs w:val="24"/>
    </w:rPr>
  </w:style>
  <w:style w:type="character" w:customStyle="1" w:styleId="75">
    <w:name w:val="Heading 6 Char"/>
    <w:basedOn w:val="58"/>
    <w:link w:val="7"/>
    <w:qFormat/>
    <w:uiPriority w:val="0"/>
    <w:rPr>
      <w:rFonts w:ascii="Arial" w:hAnsi="Arial" w:eastAsia="黑体"/>
      <w:b/>
      <w:kern w:val="2"/>
      <w:sz w:val="24"/>
      <w:szCs w:val="24"/>
    </w:rPr>
  </w:style>
  <w:style w:type="character" w:customStyle="1" w:styleId="76">
    <w:name w:val="Heading 7 Char"/>
    <w:basedOn w:val="58"/>
    <w:link w:val="8"/>
    <w:qFormat/>
    <w:uiPriority w:val="0"/>
    <w:rPr>
      <w:b/>
      <w:kern w:val="2"/>
      <w:sz w:val="24"/>
      <w:szCs w:val="24"/>
    </w:rPr>
  </w:style>
  <w:style w:type="character" w:customStyle="1" w:styleId="77">
    <w:name w:val="Heading 8 Char"/>
    <w:basedOn w:val="58"/>
    <w:link w:val="9"/>
    <w:qFormat/>
    <w:uiPriority w:val="0"/>
    <w:rPr>
      <w:rFonts w:ascii="Arial" w:hAnsi="Arial" w:eastAsia="黑体"/>
      <w:kern w:val="2"/>
      <w:sz w:val="24"/>
      <w:szCs w:val="24"/>
    </w:rPr>
  </w:style>
  <w:style w:type="character" w:customStyle="1" w:styleId="78">
    <w:name w:val="Heading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B74000-76B0-4860-A81A-0042293BD5AA}">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2</Pages>
  <Words>629</Words>
  <Characters>3590</Characters>
  <Lines>29</Lines>
  <Paragraphs>8</Paragraphs>
  <TotalTime>32</TotalTime>
  <ScaleCrop>false</ScaleCrop>
  <LinksUpToDate>false</LinksUpToDate>
  <CharactersWithSpaces>4211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2021-04-02T02:55:21Z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